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楷体"/>
          <w:b/>
          <w:bCs/>
          <w:sz w:val="36"/>
          <w:szCs w:val="36"/>
          <w:highlight w:val="none"/>
          <w:lang w:eastAsia="zh-CN"/>
        </w:rPr>
      </w:pPr>
      <w:r>
        <w:rPr>
          <w:rFonts w:hint="eastAsia" w:ascii="方正小标宋简体" w:hAnsi="楷体" w:eastAsia="方正小标宋简体" w:cs="楷体"/>
          <w:b/>
          <w:bCs/>
          <w:sz w:val="36"/>
          <w:szCs w:val="36"/>
        </w:rPr>
        <w:t>北京市西城区卫生</w:t>
      </w:r>
      <w:r>
        <w:rPr>
          <w:rFonts w:hint="eastAsia" w:ascii="方正小标宋简体" w:hAnsi="楷体" w:eastAsia="方正小标宋简体" w:cs="楷体"/>
          <w:b/>
          <w:bCs/>
          <w:sz w:val="36"/>
          <w:szCs w:val="36"/>
          <w:lang w:eastAsia="zh-CN"/>
        </w:rPr>
        <w:t>学校</w:t>
      </w:r>
    </w:p>
    <w:p>
      <w:pPr>
        <w:jc w:val="center"/>
        <w:rPr>
          <w:rFonts w:ascii="方正小标宋简体" w:hAnsi="楷体" w:eastAsia="方正小标宋简体" w:cs="楷体"/>
          <w:b/>
          <w:bCs/>
          <w:sz w:val="36"/>
          <w:szCs w:val="36"/>
          <w:highlight w:val="none"/>
        </w:rPr>
      </w:pPr>
      <w:r>
        <w:rPr>
          <w:rFonts w:hint="eastAsia" w:ascii="方正小标宋简体" w:hAnsi="楷体" w:eastAsia="方正小标宋简体" w:cs="楷体"/>
          <w:b/>
          <w:bCs/>
          <w:sz w:val="36"/>
          <w:szCs w:val="36"/>
          <w:highlight w:val="none"/>
          <w:lang w:eastAsia="zh-CN"/>
        </w:rPr>
        <w:t>202</w:t>
      </w:r>
      <w:r>
        <w:rPr>
          <w:rFonts w:hint="eastAsia" w:ascii="方正小标宋简体" w:hAnsi="楷体" w:eastAsia="方正小标宋简体" w:cs="楷体"/>
          <w:b/>
          <w:bCs/>
          <w:sz w:val="36"/>
          <w:szCs w:val="36"/>
          <w:highlight w:val="none"/>
          <w:lang w:val="en-US" w:eastAsia="zh-CN"/>
        </w:rPr>
        <w:t>3</w:t>
      </w:r>
      <w:r>
        <w:rPr>
          <w:rFonts w:hint="eastAsia" w:ascii="方正小标宋简体" w:hAnsi="楷体" w:eastAsia="方正小标宋简体" w:cs="楷体"/>
          <w:b/>
          <w:bCs/>
          <w:sz w:val="36"/>
          <w:szCs w:val="36"/>
          <w:highlight w:val="none"/>
        </w:rPr>
        <w:t>年预算编制说明</w:t>
      </w:r>
    </w:p>
    <w:p>
      <w:pPr>
        <w:spacing w:line="560" w:lineRule="exact"/>
        <w:jc w:val="center"/>
        <w:rPr>
          <w:rFonts w:ascii="仿宋_GB2312" w:eastAsia="仿宋_GB2312"/>
          <w:color w:val="000000"/>
          <w:sz w:val="32"/>
          <w:szCs w:val="32"/>
          <w:highlight w:val="none"/>
        </w:rPr>
      </w:pPr>
    </w:p>
    <w:p>
      <w:pPr>
        <w:spacing w:line="560" w:lineRule="exact"/>
        <w:jc w:val="center"/>
        <w:rPr>
          <w:rFonts w:ascii="仿宋_GB2312" w:eastAsia="仿宋_GB2312"/>
          <w:b/>
          <w:color w:val="000000"/>
          <w:sz w:val="32"/>
          <w:szCs w:val="32"/>
          <w:highlight w:val="none"/>
        </w:rPr>
      </w:pPr>
      <w:r>
        <w:rPr>
          <w:rFonts w:hint="eastAsia" w:ascii="仿宋_GB2312" w:eastAsia="仿宋_GB2312"/>
          <w:b/>
          <w:color w:val="000000"/>
          <w:sz w:val="32"/>
          <w:szCs w:val="32"/>
          <w:highlight w:val="none"/>
        </w:rPr>
        <w:t>目录</w:t>
      </w:r>
    </w:p>
    <w:p>
      <w:pPr>
        <w:spacing w:line="560" w:lineRule="exact"/>
        <w:jc w:val="center"/>
        <w:rPr>
          <w:rFonts w:ascii="仿宋_GB2312" w:eastAsia="仿宋_GB2312"/>
          <w:color w:val="000000"/>
          <w:sz w:val="32"/>
          <w:szCs w:val="32"/>
          <w:highlight w:val="none"/>
        </w:rPr>
      </w:pPr>
    </w:p>
    <w:p>
      <w:pPr>
        <w:spacing w:line="560" w:lineRule="exact"/>
        <w:ind w:firstLine="320" w:firstLineChars="100"/>
        <w:rPr>
          <w:rFonts w:ascii="仿宋_GB2312" w:eastAsia="仿宋_GB2312"/>
          <w:color w:val="000000"/>
          <w:sz w:val="32"/>
          <w:szCs w:val="32"/>
          <w:highlight w:val="none"/>
        </w:rPr>
      </w:pPr>
      <w:r>
        <w:rPr>
          <w:rFonts w:hint="eastAsia" w:ascii="仿宋_GB2312" w:eastAsia="仿宋_GB2312"/>
          <w:color w:val="000000"/>
          <w:sz w:val="32"/>
          <w:szCs w:val="32"/>
          <w:highlight w:val="none"/>
        </w:rPr>
        <w:t>第一部分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w:t>
      </w:r>
      <w:r>
        <w:rPr>
          <w:rFonts w:ascii="仿宋_GB2312" w:eastAsia="仿宋_GB2312"/>
          <w:color w:val="000000"/>
          <w:sz w:val="32"/>
          <w:szCs w:val="32"/>
          <w:highlight w:val="none"/>
        </w:rPr>
        <w:t>部门预算情况说明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部门主要职责及机构设置情况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（一）部门</w:t>
      </w:r>
      <w:r>
        <w:rPr>
          <w:rFonts w:ascii="仿宋_GB2312" w:eastAsia="仿宋_GB2312"/>
          <w:color w:val="000000"/>
          <w:sz w:val="32"/>
          <w:szCs w:val="32"/>
          <w:highlight w:val="none"/>
        </w:rPr>
        <w:t>机构设置、职责</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（二）人员</w:t>
      </w:r>
      <w:r>
        <w:rPr>
          <w:rFonts w:ascii="仿宋_GB2312" w:eastAsia="仿宋_GB2312"/>
          <w:color w:val="000000"/>
          <w:sz w:val="32"/>
          <w:szCs w:val="32"/>
          <w:highlight w:val="none"/>
        </w:rPr>
        <w:t>构成情况</w:t>
      </w:r>
    </w:p>
    <w:p>
      <w:pPr>
        <w:spacing w:line="560" w:lineRule="exact"/>
        <w:ind w:firstLine="800" w:firstLineChars="25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年部门预算</w:t>
      </w:r>
      <w:r>
        <w:rPr>
          <w:rFonts w:ascii="仿宋_GB2312" w:eastAsia="仿宋_GB2312"/>
          <w:color w:val="000000"/>
          <w:sz w:val="32"/>
          <w:szCs w:val="32"/>
          <w:highlight w:val="none"/>
        </w:rPr>
        <w:t>收支</w:t>
      </w:r>
      <w:r>
        <w:rPr>
          <w:rFonts w:hint="eastAsia" w:ascii="仿宋_GB2312" w:eastAsia="仿宋_GB2312"/>
          <w:color w:val="000000"/>
          <w:sz w:val="32"/>
          <w:szCs w:val="32"/>
          <w:highlight w:val="none"/>
        </w:rPr>
        <w:t>及增减变化</w:t>
      </w:r>
      <w:r>
        <w:rPr>
          <w:rFonts w:ascii="仿宋_GB2312" w:eastAsia="仿宋_GB2312"/>
          <w:color w:val="000000"/>
          <w:sz w:val="32"/>
          <w:szCs w:val="32"/>
          <w:highlight w:val="none"/>
        </w:rPr>
        <w:t>情况</w:t>
      </w:r>
      <w:r>
        <w:rPr>
          <w:rFonts w:hint="eastAsia"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三</w:t>
      </w:r>
      <w:r>
        <w:rPr>
          <w:rFonts w:ascii="仿宋_GB2312" w:eastAsia="仿宋_GB2312"/>
          <w:color w:val="000000"/>
          <w:sz w:val="32"/>
          <w:szCs w:val="32"/>
          <w:highlight w:val="none"/>
        </w:rPr>
        <w:t>、主要支出情况</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 xml:space="preserve"> 四、</w:t>
      </w:r>
      <w:r>
        <w:rPr>
          <w:rFonts w:ascii="仿宋_GB2312" w:eastAsia="仿宋_GB2312"/>
          <w:color w:val="000000"/>
          <w:sz w:val="32"/>
          <w:szCs w:val="32"/>
          <w:highlight w:val="none"/>
        </w:rPr>
        <w:t>部门“</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w:t>
      </w:r>
      <w:r>
        <w:rPr>
          <w:rFonts w:ascii="仿宋_GB2312" w:eastAsia="仿宋_GB2312"/>
          <w:color w:val="000000"/>
          <w:sz w:val="32"/>
          <w:szCs w:val="32"/>
          <w:highlight w:val="none"/>
        </w:rPr>
        <w:t>财政拨款预算说明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经费的</w:t>
      </w:r>
      <w:r>
        <w:rPr>
          <w:rFonts w:ascii="仿宋_GB2312" w:eastAsia="仿宋_GB2312"/>
          <w:color w:val="000000"/>
          <w:sz w:val="32"/>
          <w:szCs w:val="32"/>
          <w:highlight w:val="none"/>
        </w:rPr>
        <w:t>单位</w:t>
      </w:r>
      <w:r>
        <w:rPr>
          <w:rFonts w:hint="eastAsia" w:ascii="仿宋_GB2312" w:eastAsia="仿宋_GB2312"/>
          <w:color w:val="000000"/>
          <w:sz w:val="32"/>
          <w:szCs w:val="32"/>
          <w:highlight w:val="none"/>
        </w:rPr>
        <w:t>范围</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三公</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经费预算财政</w:t>
      </w:r>
      <w:r>
        <w:rPr>
          <w:rFonts w:ascii="仿宋_GB2312" w:eastAsia="仿宋_GB2312"/>
          <w:color w:val="000000"/>
          <w:sz w:val="32"/>
          <w:szCs w:val="32"/>
          <w:highlight w:val="none"/>
        </w:rPr>
        <w:t>拨款情况</w:t>
      </w:r>
      <w:r>
        <w:rPr>
          <w:rFonts w:hint="eastAsia"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rPr>
        <w:t>五</w:t>
      </w:r>
      <w:r>
        <w:rPr>
          <w:rFonts w:ascii="仿宋_GB2312" w:eastAsia="仿宋_GB2312"/>
          <w:color w:val="000000"/>
          <w:sz w:val="32"/>
          <w:szCs w:val="32"/>
          <w:highlight w:val="none"/>
        </w:rPr>
        <w:t>、其他情况说明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（一）机</w:t>
      </w:r>
      <w:r>
        <w:rPr>
          <w:rFonts w:hint="eastAsia" w:ascii="仿宋_GB2312" w:eastAsia="仿宋_GB2312"/>
          <w:color w:val="000000"/>
          <w:sz w:val="32"/>
          <w:szCs w:val="32"/>
          <w:highlight w:val="none"/>
          <w:lang w:eastAsia="zh-CN"/>
        </w:rPr>
        <w:t>关</w:t>
      </w:r>
      <w:r>
        <w:rPr>
          <w:rFonts w:hint="eastAsia" w:ascii="仿宋_GB2312" w:eastAsia="仿宋_GB2312"/>
          <w:color w:val="000000"/>
          <w:sz w:val="32"/>
          <w:szCs w:val="32"/>
          <w:highlight w:val="none"/>
        </w:rPr>
        <w:t>运行经费</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（二）政府</w:t>
      </w:r>
      <w:r>
        <w:rPr>
          <w:rFonts w:ascii="仿宋_GB2312" w:eastAsia="仿宋_GB2312"/>
          <w:color w:val="000000"/>
          <w:sz w:val="32"/>
          <w:szCs w:val="32"/>
          <w:highlight w:val="none"/>
        </w:rPr>
        <w:t>采购预算说明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（三）政府购买服务</w:t>
      </w:r>
      <w:r>
        <w:rPr>
          <w:rFonts w:ascii="仿宋_GB2312" w:eastAsia="仿宋_GB2312"/>
          <w:color w:val="000000"/>
          <w:sz w:val="32"/>
          <w:szCs w:val="32"/>
          <w:highlight w:val="none"/>
        </w:rPr>
        <w:t>预算说明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（四）</w:t>
      </w:r>
      <w:r>
        <w:rPr>
          <w:rFonts w:ascii="仿宋_GB2312" w:eastAsia="仿宋_GB2312"/>
          <w:color w:val="000000"/>
          <w:sz w:val="32"/>
          <w:szCs w:val="32"/>
          <w:highlight w:val="none"/>
        </w:rPr>
        <w:t>绩效目标情况</w:t>
      </w:r>
      <w:r>
        <w:rPr>
          <w:rFonts w:hint="eastAsia" w:ascii="仿宋_GB2312" w:eastAsia="仿宋_GB2312"/>
          <w:color w:val="000000"/>
          <w:sz w:val="32"/>
          <w:szCs w:val="32"/>
          <w:highlight w:val="none"/>
        </w:rPr>
        <w:t>及绩效评价结果</w:t>
      </w:r>
      <w:r>
        <w:rPr>
          <w:rFonts w:ascii="仿宋_GB2312" w:eastAsia="仿宋_GB2312"/>
          <w:color w:val="000000"/>
          <w:sz w:val="32"/>
          <w:szCs w:val="32"/>
          <w:highlight w:val="none"/>
        </w:rPr>
        <w:t>说明</w:t>
      </w:r>
    </w:p>
    <w:p>
      <w:pPr>
        <w:spacing w:line="560" w:lineRule="exact"/>
        <w:ind w:firstLine="645"/>
        <w:rPr>
          <w:rFonts w:ascii="仿宋_GB2312" w:eastAsia="仿宋_GB2312"/>
          <w:color w:val="000000"/>
          <w:sz w:val="32"/>
          <w:szCs w:val="32"/>
          <w:highlight w:val="none"/>
        </w:rPr>
      </w:pPr>
      <w:r>
        <w:rPr>
          <w:rFonts w:hint="eastAsia" w:ascii="仿宋_GB2312" w:eastAsia="仿宋_GB2312"/>
          <w:color w:val="000000"/>
          <w:sz w:val="32"/>
          <w:szCs w:val="32"/>
          <w:highlight w:val="none"/>
        </w:rPr>
        <w:t>（五）国有</w:t>
      </w:r>
      <w:r>
        <w:rPr>
          <w:rFonts w:ascii="仿宋_GB2312" w:eastAsia="仿宋_GB2312"/>
          <w:color w:val="000000"/>
          <w:sz w:val="32"/>
          <w:szCs w:val="32"/>
          <w:highlight w:val="none"/>
        </w:rPr>
        <w:t>资本经营预算财政拨款</w:t>
      </w:r>
      <w:r>
        <w:rPr>
          <w:rFonts w:hint="eastAsia" w:ascii="仿宋_GB2312" w:eastAsia="仿宋_GB2312"/>
          <w:color w:val="000000"/>
          <w:sz w:val="32"/>
          <w:szCs w:val="32"/>
          <w:highlight w:val="none"/>
        </w:rPr>
        <w:t>情况</w:t>
      </w:r>
      <w:r>
        <w:rPr>
          <w:rFonts w:ascii="仿宋_GB2312" w:eastAsia="仿宋_GB2312"/>
          <w:color w:val="000000"/>
          <w:sz w:val="32"/>
          <w:szCs w:val="32"/>
          <w:highlight w:val="none"/>
        </w:rPr>
        <w:t>说明</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（六）国有资产</w:t>
      </w:r>
      <w:r>
        <w:rPr>
          <w:rFonts w:ascii="仿宋_GB2312" w:eastAsia="仿宋_GB2312"/>
          <w:color w:val="000000"/>
          <w:sz w:val="32"/>
          <w:szCs w:val="32"/>
          <w:highlight w:val="none"/>
        </w:rPr>
        <w:t>占用情况说明</w:t>
      </w:r>
    </w:p>
    <w:p>
      <w:pPr>
        <w:spacing w:line="560" w:lineRule="exact"/>
        <w:ind w:firstLine="960" w:firstLineChars="300"/>
        <w:rPr>
          <w:rFonts w:ascii="仿宋_GB2312" w:eastAsia="仿宋_GB2312"/>
          <w:color w:val="000000"/>
          <w:sz w:val="32"/>
          <w:szCs w:val="32"/>
          <w:highlight w:val="none"/>
        </w:rPr>
      </w:pPr>
      <w:r>
        <w:rPr>
          <w:rFonts w:hint="eastAsia" w:ascii="仿宋_GB2312" w:eastAsia="仿宋_GB2312"/>
          <w:color w:val="000000"/>
          <w:sz w:val="32"/>
          <w:szCs w:val="32"/>
          <w:highlight w:val="none"/>
        </w:rPr>
        <w:t>六</w:t>
      </w:r>
      <w:r>
        <w:rPr>
          <w:rFonts w:ascii="仿宋_GB2312" w:eastAsia="仿宋_GB2312"/>
          <w:color w:val="000000"/>
          <w:sz w:val="32"/>
          <w:szCs w:val="32"/>
          <w:highlight w:val="none"/>
        </w:rPr>
        <w:t>、名称</w:t>
      </w:r>
      <w:r>
        <w:rPr>
          <w:rFonts w:hint="eastAsia" w:ascii="仿宋_GB2312" w:eastAsia="仿宋_GB2312"/>
          <w:color w:val="000000"/>
          <w:sz w:val="32"/>
          <w:szCs w:val="32"/>
          <w:highlight w:val="none"/>
        </w:rPr>
        <w:t>解释</w:t>
      </w:r>
    </w:p>
    <w:p>
      <w:pPr>
        <w:spacing w:line="56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第二部分</w:t>
      </w:r>
      <w:r>
        <w:rPr>
          <w:rFonts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202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年度</w:t>
      </w:r>
      <w:r>
        <w:rPr>
          <w:rFonts w:ascii="仿宋_GB2312" w:eastAsia="仿宋_GB2312"/>
          <w:color w:val="000000"/>
          <w:sz w:val="32"/>
          <w:szCs w:val="32"/>
          <w:highlight w:val="none"/>
        </w:rPr>
        <w:t>部门预算</w:t>
      </w:r>
      <w:r>
        <w:rPr>
          <w:rFonts w:hint="eastAsia" w:ascii="仿宋_GB2312" w:eastAsia="仿宋_GB2312"/>
          <w:color w:val="000000"/>
          <w:sz w:val="32"/>
          <w:szCs w:val="32"/>
          <w:highlight w:val="none"/>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highlight w:val="none"/>
          <w:lang w:val="zh-CN"/>
        </w:rPr>
      </w:pPr>
      <w:r>
        <w:rPr>
          <w:rFonts w:hint="eastAsia" w:ascii="仿宋_GB2312" w:eastAsia="仿宋_GB2312" w:cs="宋体"/>
          <w:color w:val="000000"/>
          <w:kern w:val="0"/>
          <w:sz w:val="32"/>
          <w:szCs w:val="32"/>
          <w:highlight w:val="none"/>
          <w:lang w:val="zh-CN"/>
        </w:rPr>
        <w:t>表一、</w:t>
      </w:r>
      <w:r>
        <w:rPr>
          <w:rFonts w:hint="eastAsia" w:ascii="仿宋_GB2312" w:eastAsia="仿宋_GB2312" w:cs="宋体"/>
          <w:color w:val="000000"/>
          <w:kern w:val="0"/>
          <w:sz w:val="32"/>
          <w:szCs w:val="32"/>
          <w:lang w:val="zh-CN"/>
        </w:rPr>
        <w:t>部门收支总体情况表</w:t>
      </w:r>
      <w:r>
        <w:rPr>
          <w:rFonts w:hint="eastAsia" w:ascii="仿宋_GB2312" w:eastAsia="仿宋_GB2312" w:cs="宋体"/>
          <w:color w:val="000000"/>
          <w:kern w:val="0"/>
          <w:sz w:val="32"/>
          <w:szCs w:val="32"/>
          <w:highlight w:val="none"/>
          <w:lang w:val="zh-CN"/>
        </w:rPr>
        <w:t xml:space="preserve"> </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表二、</w:t>
      </w:r>
      <w:r>
        <w:rPr>
          <w:rFonts w:hint="eastAsia" w:ascii="仿宋_GB2312" w:eastAsia="仿宋_GB2312"/>
          <w:sz w:val="32"/>
          <w:szCs w:val="32"/>
        </w:rPr>
        <w:t>部门收入总体情况表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表三、</w:t>
      </w:r>
      <w:r>
        <w:rPr>
          <w:rFonts w:hint="eastAsia" w:ascii="仿宋_GB2312" w:eastAsia="仿宋_GB2312"/>
          <w:sz w:val="32"/>
          <w:szCs w:val="32"/>
        </w:rPr>
        <w:t>部门支出总体情况表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表四、项目支出表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、财政拨款收支</w:t>
      </w:r>
      <w:r>
        <w:rPr>
          <w:rFonts w:hint="eastAsia" w:ascii="仿宋_GB2312" w:eastAsia="仿宋_GB2312"/>
          <w:sz w:val="32"/>
          <w:szCs w:val="32"/>
        </w:rPr>
        <w:t>总体情况表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、一般公共</w:t>
      </w:r>
      <w:r>
        <w:rPr>
          <w:rFonts w:hint="eastAsia" w:ascii="仿宋_GB2312" w:eastAsia="仿宋_GB2312"/>
          <w:sz w:val="32"/>
          <w:szCs w:val="32"/>
        </w:rPr>
        <w:t>预算支出情况表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表七、一般公共预算</w:t>
      </w:r>
      <w:r>
        <w:rPr>
          <w:rFonts w:hint="eastAsia" w:ascii="仿宋_GB2312" w:eastAsia="仿宋_GB2312"/>
          <w:sz w:val="32"/>
          <w:szCs w:val="32"/>
        </w:rPr>
        <w:t>基本支出情况表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表八、政府性基金预算支出</w:t>
      </w:r>
      <w:r>
        <w:rPr>
          <w:rFonts w:hint="eastAsia" w:ascii="仿宋_GB2312" w:eastAsia="仿宋_GB2312"/>
          <w:sz w:val="32"/>
          <w:szCs w:val="32"/>
        </w:rPr>
        <w:t>情况</w:t>
      </w:r>
      <w:r>
        <w:rPr>
          <w:rFonts w:hint="eastAsia" w:ascii="仿宋_GB2312" w:eastAsia="仿宋_GB2312"/>
          <w:sz w:val="32"/>
          <w:szCs w:val="32"/>
          <w:highlight w:val="none"/>
        </w:rPr>
        <w:t>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lang w:eastAsia="zh-CN"/>
        </w:rPr>
        <w:t>表九、</w:t>
      </w:r>
      <w:r>
        <w:rPr>
          <w:rFonts w:hint="eastAsia" w:ascii="仿宋_GB2312" w:eastAsia="仿宋_GB2312"/>
          <w:sz w:val="32"/>
          <w:szCs w:val="32"/>
          <w:highlight w:val="none"/>
        </w:rPr>
        <w:t>国有资本经营预算财政拨款支出表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rPr>
      </w:pPr>
      <w:r>
        <w:rPr>
          <w:rFonts w:hint="eastAsia" w:ascii="仿宋_GB2312" w:eastAsia="仿宋_GB2312"/>
          <w:sz w:val="32"/>
          <w:szCs w:val="32"/>
          <w:highlight w:val="none"/>
        </w:rPr>
        <w:t>表</w:t>
      </w:r>
      <w:r>
        <w:rPr>
          <w:rFonts w:hint="eastAsia" w:ascii="仿宋_GB2312" w:eastAsia="仿宋_GB2312"/>
          <w:sz w:val="32"/>
          <w:szCs w:val="32"/>
          <w:highlight w:val="none"/>
          <w:lang w:eastAsia="zh-CN"/>
        </w:rPr>
        <w:t>十</w:t>
      </w:r>
      <w:r>
        <w:rPr>
          <w:rFonts w:hint="eastAsia" w:ascii="仿宋_GB2312" w:eastAsia="仿宋_GB2312"/>
          <w:sz w:val="32"/>
          <w:szCs w:val="32"/>
          <w:highlight w:val="none"/>
        </w:rPr>
        <w:t>、一般公共预算“三公”经费支出情况表</w:t>
      </w:r>
    </w:p>
    <w:p>
      <w:pPr>
        <w:autoSpaceDE w:val="0"/>
        <w:autoSpaceDN w:val="0"/>
        <w:adjustRightInd w:val="0"/>
        <w:spacing w:line="560" w:lineRule="exact"/>
        <w:ind w:firstLine="1132" w:firstLineChars="354"/>
        <w:jc w:val="left"/>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表十一、政府购买服务预算表</w:t>
      </w:r>
    </w:p>
    <w:p>
      <w:pPr>
        <w:autoSpaceDE w:val="0"/>
        <w:autoSpaceDN w:val="0"/>
        <w:adjustRightInd w:val="0"/>
        <w:spacing w:line="560" w:lineRule="exact"/>
        <w:ind w:firstLine="1132" w:firstLineChars="354"/>
        <w:jc w:val="left"/>
        <w:rPr>
          <w:rFonts w:ascii="仿宋_GB2312" w:eastAsia="仿宋_GB2312"/>
          <w:sz w:val="32"/>
          <w:szCs w:val="32"/>
          <w:highlight w:val="none"/>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二</w:t>
      </w:r>
      <w:r>
        <w:rPr>
          <w:rFonts w:hint="eastAsia" w:ascii="仿宋_GB2312" w:eastAsia="仿宋_GB2312"/>
          <w:sz w:val="32"/>
          <w:szCs w:val="32"/>
          <w:highlight w:val="none"/>
        </w:rPr>
        <w:t>、上级转移支付细化明细表</w:t>
      </w:r>
    </w:p>
    <w:p>
      <w:pPr>
        <w:autoSpaceDE w:val="0"/>
        <w:autoSpaceDN w:val="0"/>
        <w:adjustRightInd w:val="0"/>
        <w:spacing w:line="560" w:lineRule="exact"/>
        <w:ind w:firstLine="1132" w:firstLineChars="354"/>
        <w:jc w:val="left"/>
        <w:rPr>
          <w:rFonts w:hint="eastAsia" w:ascii="仿宋_GB2312" w:eastAsia="仿宋_GB2312"/>
          <w:sz w:val="32"/>
          <w:szCs w:val="32"/>
        </w:rPr>
      </w:pPr>
      <w:r>
        <w:rPr>
          <w:rFonts w:hint="eastAsia" w:ascii="仿宋_GB2312" w:eastAsia="仿宋_GB2312"/>
          <w:sz w:val="32"/>
          <w:szCs w:val="32"/>
          <w:highlight w:val="none"/>
        </w:rPr>
        <w:t>表十</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w:t>
      </w:r>
      <w:r>
        <w:rPr>
          <w:rFonts w:hint="eastAsia" w:ascii="仿宋_GB2312" w:eastAsia="仿宋_GB2312"/>
          <w:sz w:val="32"/>
          <w:szCs w:val="32"/>
        </w:rPr>
        <w:t>项目支出绩效目标申报表</w:t>
      </w:r>
    </w:p>
    <w:p>
      <w:pPr>
        <w:autoSpaceDE w:val="0"/>
        <w:autoSpaceDN w:val="0"/>
        <w:adjustRightInd w:val="0"/>
        <w:spacing w:line="560" w:lineRule="exact"/>
        <w:ind w:firstLine="1132" w:firstLineChars="354"/>
        <w:jc w:val="left"/>
        <w:rPr>
          <w:rFonts w:hint="eastAsia" w:ascii="仿宋_GB2312" w:eastAsia="仿宋_GB2312"/>
          <w:sz w:val="32"/>
          <w:szCs w:val="32"/>
        </w:rPr>
      </w:pPr>
      <w:r>
        <w:rPr>
          <w:rFonts w:hint="eastAsia" w:ascii="仿宋_GB2312" w:eastAsia="仿宋_GB2312"/>
          <w:sz w:val="32"/>
          <w:szCs w:val="32"/>
        </w:rPr>
        <w:t>表十四、部门整体支出绩效目标申报表</w:t>
      </w:r>
    </w:p>
    <w:p>
      <w:pPr>
        <w:spacing w:line="560" w:lineRule="exact"/>
        <w:ind w:firstLine="1132" w:firstLineChars="354"/>
        <w:rPr>
          <w:rFonts w:ascii="仿宋_GB2312" w:eastAsia="仿宋_GB2312"/>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hint="eastAsia" w:ascii="仿宋_GB2312" w:eastAsia="仿宋_GB2312"/>
          <w:color w:val="000000"/>
          <w:sz w:val="32"/>
          <w:szCs w:val="32"/>
          <w:highlight w:val="none"/>
        </w:rPr>
      </w:pPr>
    </w:p>
    <w:p>
      <w:pPr>
        <w:spacing w:line="560" w:lineRule="exact"/>
        <w:ind w:firstLine="960" w:firstLineChars="300"/>
        <w:rPr>
          <w:rFonts w:ascii="仿宋_GB2312" w:eastAsia="仿宋_GB2312"/>
          <w:color w:val="000000"/>
          <w:sz w:val="32"/>
          <w:szCs w:val="32"/>
          <w:highlight w:val="none"/>
        </w:rPr>
      </w:pPr>
    </w:p>
    <w:p>
      <w:pPr>
        <w:spacing w:line="560" w:lineRule="exact"/>
        <w:jc w:val="center"/>
        <w:rPr>
          <w:rFonts w:hint="eastAsia" w:ascii="黑体" w:hAnsi="黑体" w:eastAsia="黑体"/>
          <w:b/>
          <w:color w:val="000000"/>
          <w:sz w:val="32"/>
          <w:szCs w:val="32"/>
          <w:highlight w:val="none"/>
        </w:rPr>
      </w:pPr>
    </w:p>
    <w:p>
      <w:pPr>
        <w:spacing w:line="560" w:lineRule="exact"/>
        <w:jc w:val="center"/>
        <w:rPr>
          <w:rFonts w:hint="eastAsia" w:ascii="黑体" w:hAnsi="黑体" w:eastAsia="黑体"/>
          <w:b/>
          <w:color w:val="000000"/>
          <w:sz w:val="32"/>
          <w:szCs w:val="32"/>
          <w:highlight w:val="none"/>
        </w:rPr>
      </w:pPr>
    </w:p>
    <w:p>
      <w:pPr>
        <w:spacing w:line="560" w:lineRule="exact"/>
        <w:jc w:val="center"/>
        <w:rPr>
          <w:rFonts w:hint="eastAsia" w:ascii="黑体" w:hAnsi="黑体" w:eastAsia="黑体"/>
          <w:b/>
          <w:color w:val="000000"/>
          <w:sz w:val="32"/>
          <w:szCs w:val="32"/>
          <w:highlight w:val="none"/>
        </w:rPr>
      </w:pPr>
    </w:p>
    <w:p>
      <w:pPr>
        <w:spacing w:line="560" w:lineRule="exact"/>
        <w:jc w:val="center"/>
        <w:rPr>
          <w:rFonts w:ascii="黑体" w:hAnsi="黑体" w:eastAsia="黑体"/>
          <w:b/>
          <w:color w:val="000000"/>
          <w:sz w:val="32"/>
          <w:szCs w:val="32"/>
          <w:highlight w:val="none"/>
        </w:rPr>
      </w:pPr>
      <w:r>
        <w:rPr>
          <w:rFonts w:hint="eastAsia" w:ascii="黑体" w:hAnsi="黑体" w:eastAsia="黑体"/>
          <w:b/>
          <w:color w:val="000000"/>
          <w:sz w:val="32"/>
          <w:szCs w:val="32"/>
          <w:highlight w:val="none"/>
        </w:rPr>
        <w:t>第一部分</w:t>
      </w:r>
      <w:r>
        <w:rPr>
          <w:rFonts w:ascii="黑体" w:hAnsi="黑体" w:eastAsia="黑体"/>
          <w:b/>
          <w:color w:val="000000"/>
          <w:sz w:val="32"/>
          <w:szCs w:val="32"/>
          <w:highlight w:val="none"/>
        </w:rPr>
        <w:t>、</w:t>
      </w:r>
      <w:r>
        <w:rPr>
          <w:rFonts w:hint="eastAsia" w:ascii="黑体" w:hAnsi="黑体" w:eastAsia="黑体"/>
          <w:b/>
          <w:color w:val="000000"/>
          <w:sz w:val="32"/>
          <w:szCs w:val="32"/>
          <w:highlight w:val="none"/>
          <w:lang w:eastAsia="zh-CN"/>
        </w:rPr>
        <w:t>202</w:t>
      </w:r>
      <w:r>
        <w:rPr>
          <w:rFonts w:hint="eastAsia" w:ascii="黑体" w:hAnsi="黑体" w:eastAsia="黑体"/>
          <w:b/>
          <w:color w:val="000000"/>
          <w:sz w:val="32"/>
          <w:szCs w:val="32"/>
          <w:highlight w:val="none"/>
          <w:lang w:val="en-US" w:eastAsia="zh-CN"/>
        </w:rPr>
        <w:t>3</w:t>
      </w:r>
      <w:r>
        <w:rPr>
          <w:rFonts w:hint="eastAsia" w:ascii="黑体" w:hAnsi="黑体" w:eastAsia="黑体"/>
          <w:b/>
          <w:color w:val="000000"/>
          <w:sz w:val="32"/>
          <w:szCs w:val="32"/>
          <w:highlight w:val="none"/>
        </w:rPr>
        <w:t>年度</w:t>
      </w:r>
      <w:r>
        <w:rPr>
          <w:rFonts w:ascii="黑体" w:hAnsi="黑体" w:eastAsia="黑体"/>
          <w:b/>
          <w:color w:val="000000"/>
          <w:sz w:val="32"/>
          <w:szCs w:val="32"/>
          <w:highlight w:val="none"/>
        </w:rPr>
        <w:t>部门预算情况说明</w:t>
      </w:r>
    </w:p>
    <w:p>
      <w:pPr>
        <w:ind w:firstLine="1767" w:firstLineChars="400"/>
        <w:rPr>
          <w:rFonts w:ascii="仿宋_GB2312" w:eastAsia="仿宋_GB2312"/>
          <w:b/>
          <w:bCs/>
          <w:sz w:val="44"/>
          <w:szCs w:val="44"/>
          <w:highlight w:val="none"/>
        </w:rPr>
      </w:pPr>
    </w:p>
    <w:p>
      <w:pPr>
        <w:spacing w:line="52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一、部门主要职责及机构设置情况</w:t>
      </w:r>
    </w:p>
    <w:p>
      <w:pPr>
        <w:spacing w:line="520" w:lineRule="exact"/>
        <w:ind w:firstLine="708" w:firstLineChars="235"/>
        <w:rPr>
          <w:rFonts w:hint="eastAsia" w:ascii="仿宋" w:hAnsi="仿宋" w:eastAsia="仿宋" w:cs="宋体"/>
          <w:b/>
          <w:bCs/>
          <w:sz w:val="30"/>
          <w:szCs w:val="30"/>
          <w:highlight w:val="none"/>
        </w:rPr>
      </w:pPr>
      <w:r>
        <w:rPr>
          <w:rFonts w:hint="eastAsia" w:ascii="仿宋" w:hAnsi="仿宋" w:eastAsia="仿宋" w:cs="宋体"/>
          <w:b/>
          <w:bCs/>
          <w:sz w:val="30"/>
          <w:szCs w:val="30"/>
          <w:highlight w:val="none"/>
        </w:rPr>
        <w:t>（一）部门机构设置、职责</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培养中专学历卫生技术人才，促进卫生事业发展，中专学历教育及岗位培训、医学卫生继续教育培训。</w:t>
      </w:r>
    </w:p>
    <w:p>
      <w:pPr>
        <w:numPr>
          <w:ilvl w:val="0"/>
          <w:numId w:val="1"/>
        </w:numPr>
        <w:spacing w:line="560" w:lineRule="exact"/>
        <w:ind w:left="681" w:leftChars="0" w:firstLine="0" w:firstLineChars="0"/>
        <w:rPr>
          <w:rFonts w:hint="eastAsia" w:ascii="仿宋" w:hAnsi="仿宋" w:eastAsia="仿宋" w:cs="楷体_GB2312"/>
          <w:b/>
          <w:bCs/>
          <w:sz w:val="32"/>
          <w:szCs w:val="32"/>
          <w:highlight w:val="none"/>
        </w:rPr>
      </w:pPr>
      <w:r>
        <w:rPr>
          <w:rFonts w:hint="eastAsia" w:ascii="仿宋" w:hAnsi="仿宋" w:eastAsia="仿宋" w:cs="楷体_GB2312"/>
          <w:b/>
          <w:bCs/>
          <w:sz w:val="32"/>
          <w:szCs w:val="32"/>
          <w:highlight w:val="none"/>
        </w:rPr>
        <w:t>人员构成情况</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北京市西城区卫生学校事业编制54人；实际</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人。离退休人员</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人，其中：离休0人，退休</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人。</w:t>
      </w:r>
    </w:p>
    <w:p>
      <w:pPr>
        <w:spacing w:line="560" w:lineRule="exact"/>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highlight w:val="none"/>
          <w:lang w:eastAsia="zh-CN"/>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年部门预算收支及增减变化情况说明</w:t>
      </w:r>
    </w:p>
    <w:p>
      <w:pPr>
        <w:spacing w:line="560" w:lineRule="exact"/>
        <w:ind w:firstLine="643" w:firstLineChars="200"/>
        <w:outlineLvl w:val="0"/>
        <w:rPr>
          <w:rFonts w:ascii="仿宋" w:hAnsi="仿宋" w:eastAsia="仿宋"/>
          <w:b/>
          <w:sz w:val="32"/>
          <w:szCs w:val="32"/>
          <w:highlight w:val="none"/>
        </w:rPr>
      </w:pPr>
      <w:r>
        <w:rPr>
          <w:rFonts w:hint="eastAsia" w:ascii="仿宋" w:hAnsi="仿宋" w:eastAsia="仿宋" w:cs="黑体"/>
          <w:b/>
          <w:sz w:val="32"/>
          <w:szCs w:val="32"/>
          <w:highlight w:val="none"/>
        </w:rPr>
        <w:t>（一）收入预算说明</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年北京市西城区卫生学校单位总</w:t>
      </w:r>
      <w:r>
        <w:rPr>
          <w:rFonts w:hint="eastAsia" w:ascii="仿宋_GB2312" w:eastAsia="仿宋_GB2312"/>
          <w:sz w:val="32"/>
          <w:szCs w:val="32"/>
          <w:highlight w:val="none"/>
          <w:lang w:eastAsia="zh-CN"/>
        </w:rPr>
        <w:t>收入</w:t>
      </w:r>
      <w:r>
        <w:rPr>
          <w:rFonts w:hint="eastAsia" w:ascii="仿宋_GB2312" w:eastAsia="仿宋_GB2312"/>
          <w:sz w:val="32"/>
          <w:szCs w:val="32"/>
          <w:highlight w:val="none"/>
        </w:rPr>
        <w:t>安排</w:t>
      </w:r>
      <w:r>
        <w:rPr>
          <w:rFonts w:hint="eastAsia" w:ascii="仿宋_GB2312" w:eastAsia="仿宋_GB2312"/>
          <w:sz w:val="32"/>
          <w:szCs w:val="32"/>
          <w:highlight w:val="none"/>
          <w:lang w:val="en-US" w:eastAsia="zh-CN"/>
        </w:rPr>
        <w:t>323.77</w:t>
      </w:r>
      <w:r>
        <w:rPr>
          <w:rFonts w:hint="eastAsia" w:ascii="仿宋_GB2312" w:eastAsia="仿宋_GB2312"/>
          <w:sz w:val="32"/>
          <w:szCs w:val="32"/>
          <w:highlight w:val="none"/>
        </w:rPr>
        <w:t>万元。其中：预算内资金安排</w:t>
      </w:r>
      <w:r>
        <w:rPr>
          <w:rFonts w:hint="eastAsia" w:ascii="仿宋_GB2312" w:eastAsia="仿宋_GB2312"/>
          <w:sz w:val="32"/>
          <w:szCs w:val="32"/>
          <w:highlight w:val="none"/>
          <w:lang w:val="en-US" w:eastAsia="zh-CN"/>
        </w:rPr>
        <w:t>219.97</w:t>
      </w:r>
      <w:r>
        <w:rPr>
          <w:rFonts w:hint="eastAsia" w:ascii="仿宋_GB2312" w:eastAsia="仿宋_GB2312"/>
          <w:sz w:val="32"/>
          <w:szCs w:val="32"/>
          <w:highlight w:val="none"/>
        </w:rPr>
        <w:t>万元，财政专户资金安排0.00万元，其他资金安排</w:t>
      </w:r>
      <w:r>
        <w:rPr>
          <w:rFonts w:hint="eastAsia" w:ascii="仿宋_GB2312" w:eastAsia="仿宋_GB2312"/>
          <w:sz w:val="32"/>
          <w:szCs w:val="32"/>
          <w:highlight w:val="none"/>
          <w:lang w:val="en-US" w:eastAsia="zh-CN"/>
        </w:rPr>
        <w:t>103.80</w:t>
      </w:r>
      <w:r>
        <w:rPr>
          <w:rFonts w:hint="eastAsia" w:ascii="仿宋_GB2312" w:eastAsia="仿宋_GB2312"/>
          <w:sz w:val="32"/>
          <w:szCs w:val="32"/>
          <w:highlight w:val="none"/>
        </w:rPr>
        <w:t>万元，市级提前下达专项转移支付项目资金安排0.00万元。20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年收入预算</w:t>
      </w:r>
      <w:r>
        <w:rPr>
          <w:rFonts w:hint="eastAsia" w:ascii="仿宋_GB2312" w:eastAsia="仿宋_GB2312"/>
          <w:sz w:val="32"/>
          <w:szCs w:val="32"/>
          <w:highlight w:val="none"/>
          <w:lang w:val="en-US" w:eastAsia="zh-CN"/>
        </w:rPr>
        <w:t>279.50</w:t>
      </w:r>
      <w:r>
        <w:rPr>
          <w:rFonts w:hint="eastAsia" w:ascii="仿宋_GB2312" w:eastAsia="仿宋_GB2312"/>
          <w:sz w:val="32"/>
          <w:szCs w:val="32"/>
          <w:highlight w:val="none"/>
        </w:rPr>
        <w:t>万元。20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年收入预算比20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44.27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15.84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增长原因是由于在职人员基本工资基数调整，导致社保项目财政拨款收入（养老保险、职业年金、住房补贴）增长</w:t>
      </w:r>
      <w:r>
        <w:rPr>
          <w:rFonts w:hint="eastAsia" w:ascii="仿宋_GB2312" w:eastAsia="仿宋_GB2312"/>
          <w:sz w:val="32"/>
          <w:szCs w:val="32"/>
          <w:highlight w:val="none"/>
        </w:rPr>
        <w:t>。我单位不涉及政府性基金收入预算。</w:t>
      </w:r>
    </w:p>
    <w:p>
      <w:pPr>
        <w:spacing w:line="560" w:lineRule="exact"/>
        <w:ind w:firstLine="643" w:firstLineChars="200"/>
        <w:rPr>
          <w:rFonts w:ascii="仿宋" w:hAnsi="仿宋" w:eastAsia="仿宋"/>
          <w:b/>
          <w:sz w:val="32"/>
          <w:szCs w:val="32"/>
          <w:highlight w:val="none"/>
        </w:rPr>
      </w:pPr>
      <w:r>
        <w:rPr>
          <w:rFonts w:hint="eastAsia" w:ascii="仿宋" w:hAnsi="仿宋" w:eastAsia="仿宋" w:cs="黑体"/>
          <w:b/>
          <w:sz w:val="32"/>
          <w:szCs w:val="32"/>
          <w:highlight w:val="none"/>
        </w:rPr>
        <w:t>（二）支出预算说明</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年北京市西城区卫生学校单位总支出安排</w:t>
      </w:r>
      <w:r>
        <w:rPr>
          <w:rFonts w:hint="eastAsia" w:ascii="仿宋_GB2312" w:eastAsia="仿宋_GB2312"/>
          <w:sz w:val="32"/>
          <w:szCs w:val="32"/>
          <w:highlight w:val="none"/>
          <w:lang w:val="en-US" w:eastAsia="zh-CN"/>
        </w:rPr>
        <w:t>323.77</w:t>
      </w:r>
      <w:r>
        <w:rPr>
          <w:rFonts w:hint="eastAsia" w:ascii="仿宋_GB2312" w:eastAsia="仿宋_GB2312"/>
          <w:sz w:val="32"/>
          <w:szCs w:val="32"/>
          <w:highlight w:val="none"/>
        </w:rPr>
        <w:t>万元。其中：预算内资金安排</w:t>
      </w:r>
      <w:r>
        <w:rPr>
          <w:rFonts w:hint="eastAsia" w:ascii="仿宋_GB2312" w:eastAsia="仿宋_GB2312"/>
          <w:sz w:val="32"/>
          <w:szCs w:val="32"/>
          <w:highlight w:val="none"/>
          <w:lang w:val="en-US" w:eastAsia="zh-CN"/>
        </w:rPr>
        <w:t>219.97</w:t>
      </w:r>
      <w:r>
        <w:rPr>
          <w:rFonts w:hint="eastAsia" w:ascii="仿宋_GB2312" w:eastAsia="仿宋_GB2312"/>
          <w:sz w:val="32"/>
          <w:szCs w:val="32"/>
          <w:highlight w:val="none"/>
        </w:rPr>
        <w:t>万元，财政专户资金安排0.00万元，其他资金安排</w:t>
      </w:r>
      <w:r>
        <w:rPr>
          <w:rFonts w:hint="eastAsia" w:ascii="仿宋_GB2312" w:eastAsia="仿宋_GB2312"/>
          <w:sz w:val="32"/>
          <w:szCs w:val="32"/>
          <w:highlight w:val="none"/>
          <w:lang w:val="en-US" w:eastAsia="zh-CN"/>
        </w:rPr>
        <w:t>103.80</w:t>
      </w:r>
      <w:r>
        <w:rPr>
          <w:rFonts w:hint="eastAsia" w:ascii="仿宋_GB2312" w:eastAsia="仿宋_GB2312"/>
          <w:sz w:val="32"/>
          <w:szCs w:val="32"/>
          <w:highlight w:val="none"/>
        </w:rPr>
        <w:t>万元，市级提前下达专项转移支付项目资金安排0.00万元。20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预算</w:t>
      </w:r>
      <w:r>
        <w:rPr>
          <w:rFonts w:hint="eastAsia" w:ascii="仿宋_GB2312" w:eastAsia="仿宋_GB2312"/>
          <w:sz w:val="32"/>
          <w:szCs w:val="32"/>
          <w:highlight w:val="none"/>
          <w:lang w:val="en-US" w:eastAsia="zh-CN"/>
        </w:rPr>
        <w:t>279.50</w:t>
      </w:r>
      <w:r>
        <w:rPr>
          <w:rFonts w:hint="eastAsia" w:ascii="仿宋_GB2312" w:eastAsia="仿宋_GB2312"/>
          <w:sz w:val="32"/>
          <w:szCs w:val="32"/>
          <w:highlight w:val="none"/>
        </w:rPr>
        <w:t>万元。20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预算比20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44.27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，增长</w:t>
      </w:r>
      <w:r>
        <w:rPr>
          <w:rFonts w:hint="eastAsia" w:ascii="仿宋_GB2312" w:eastAsia="仿宋_GB2312"/>
          <w:sz w:val="32"/>
          <w:szCs w:val="32"/>
          <w:highlight w:val="none"/>
          <w:lang w:val="en-US" w:eastAsia="zh-CN"/>
        </w:rPr>
        <w:t>15.84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增长原因是由于在职人员基本工资基数调整，导致社保项目</w:t>
      </w:r>
      <w:bookmarkStart w:id="0" w:name="_GoBack"/>
      <w:bookmarkEnd w:id="0"/>
      <w:r>
        <w:rPr>
          <w:rFonts w:hint="eastAsia" w:ascii="仿宋_GB2312" w:eastAsia="仿宋_GB2312"/>
          <w:sz w:val="32"/>
          <w:szCs w:val="32"/>
          <w:highlight w:val="none"/>
          <w:lang w:eastAsia="zh-CN"/>
        </w:rPr>
        <w:t>支出</w:t>
      </w:r>
      <w:r>
        <w:rPr>
          <w:rFonts w:hint="eastAsia" w:ascii="仿宋_GB2312" w:eastAsia="仿宋_GB2312"/>
          <w:sz w:val="32"/>
          <w:szCs w:val="32"/>
          <w:highlight w:val="none"/>
          <w:lang w:val="en-US" w:eastAsia="zh-CN"/>
        </w:rPr>
        <w:t>增长</w:t>
      </w:r>
      <w:r>
        <w:rPr>
          <w:rFonts w:hint="eastAsia" w:ascii="仿宋_GB2312" w:eastAsia="仿宋_GB2312"/>
          <w:sz w:val="32"/>
          <w:szCs w:val="32"/>
          <w:highlight w:val="none"/>
        </w:rPr>
        <w:t>。我单位不涉及政府性基金收入预算。</w:t>
      </w:r>
    </w:p>
    <w:p>
      <w:pPr>
        <w:snapToGrid w:val="0"/>
        <w:spacing w:line="520" w:lineRule="exact"/>
        <w:ind w:firstLine="627" w:firstLineChars="196"/>
        <w:rPr>
          <w:rFonts w:hint="eastAsia" w:ascii="仿宋_GB2312" w:eastAsia="仿宋_GB2312"/>
          <w:sz w:val="32"/>
          <w:szCs w:val="32"/>
          <w:highlight w:val="yellow"/>
        </w:rPr>
      </w:pP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三、主要支出情况</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年支出预算</w:t>
      </w:r>
      <w:r>
        <w:rPr>
          <w:rFonts w:hint="eastAsia" w:ascii="仿宋_GB2312" w:eastAsia="仿宋_GB2312"/>
          <w:sz w:val="32"/>
          <w:szCs w:val="32"/>
          <w:highlight w:val="none"/>
          <w:lang w:val="en-US" w:eastAsia="zh-CN"/>
        </w:rPr>
        <w:t>323.77</w:t>
      </w:r>
      <w:r>
        <w:rPr>
          <w:rFonts w:hint="eastAsia" w:ascii="仿宋_GB2312" w:eastAsia="仿宋_GB2312"/>
          <w:sz w:val="32"/>
          <w:szCs w:val="32"/>
          <w:highlight w:val="none"/>
        </w:rPr>
        <w:t>万元，按用途划分：</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1.基本支出预算</w:t>
      </w:r>
      <w:r>
        <w:rPr>
          <w:rFonts w:hint="eastAsia" w:ascii="仿宋_GB2312" w:eastAsia="仿宋_GB2312"/>
          <w:sz w:val="32"/>
          <w:szCs w:val="32"/>
          <w:highlight w:val="none"/>
          <w:lang w:val="en-US" w:eastAsia="zh-CN"/>
        </w:rPr>
        <w:t>323.77</w:t>
      </w:r>
      <w:r>
        <w:rPr>
          <w:rFonts w:hint="eastAsia" w:ascii="仿宋_GB2312" w:eastAsia="仿宋_GB2312"/>
          <w:sz w:val="32"/>
          <w:szCs w:val="32"/>
          <w:highlight w:val="none"/>
        </w:rPr>
        <w:t>万元，财政拨款基本支出</w:t>
      </w:r>
      <w:r>
        <w:rPr>
          <w:rFonts w:hint="eastAsia" w:ascii="仿宋_GB2312" w:eastAsia="仿宋_GB2312"/>
          <w:sz w:val="32"/>
          <w:szCs w:val="32"/>
          <w:highlight w:val="none"/>
          <w:lang w:val="en-US" w:eastAsia="zh-CN"/>
        </w:rPr>
        <w:t>219.97</w:t>
      </w:r>
      <w:r>
        <w:rPr>
          <w:rFonts w:hint="eastAsia" w:ascii="仿宋_GB2312" w:eastAsia="仿宋_GB2312"/>
          <w:sz w:val="32"/>
          <w:szCs w:val="32"/>
          <w:highlight w:val="none"/>
        </w:rPr>
        <w:t>万元。主要包括在职、离退休人员支出、个人和家庭补助支出、公用支出。</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2.项目支出预算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四、部门“三公”经费财政拨款预算说明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（一）“三公”经费的单位范围</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北京市西城区卫生学校部门预算中因公出国（境）费、公务接待费、公务用车购置及运行维护费的支出单位包括1个所属单位，即北京市西城区卫生学校。</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（二）</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三公</w:t>
      </w:r>
      <w:r>
        <w:rPr>
          <w:rFonts w:ascii="仿宋" w:hAnsi="仿宋" w:eastAsia="仿宋"/>
          <w:b/>
          <w:color w:val="000000"/>
          <w:sz w:val="32"/>
          <w:szCs w:val="32"/>
          <w:highlight w:val="none"/>
        </w:rPr>
        <w:t>”</w:t>
      </w:r>
      <w:r>
        <w:rPr>
          <w:rFonts w:hint="eastAsia" w:ascii="仿宋" w:hAnsi="仿宋" w:eastAsia="仿宋"/>
          <w:b/>
          <w:color w:val="000000"/>
          <w:sz w:val="32"/>
          <w:szCs w:val="32"/>
          <w:highlight w:val="none"/>
        </w:rPr>
        <w:t>经费预算财政</w:t>
      </w:r>
      <w:r>
        <w:rPr>
          <w:rFonts w:ascii="仿宋" w:hAnsi="仿宋" w:eastAsia="仿宋"/>
          <w:b/>
          <w:color w:val="000000"/>
          <w:sz w:val="32"/>
          <w:szCs w:val="32"/>
          <w:highlight w:val="none"/>
        </w:rPr>
        <w:t>拨款情况</w:t>
      </w:r>
      <w:r>
        <w:rPr>
          <w:rFonts w:hint="eastAsia" w:ascii="仿宋" w:hAnsi="仿宋" w:eastAsia="仿宋"/>
          <w:b/>
          <w:color w:val="000000"/>
          <w:sz w:val="32"/>
          <w:szCs w:val="32"/>
          <w:highlight w:val="none"/>
        </w:rPr>
        <w:t>说明</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年部门预算“三公”经费财政拨款预算安排</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w:t>
      </w:r>
    </w:p>
    <w:p>
      <w:pPr>
        <w:spacing w:line="56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1.因公出国（境）费</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年财政拨款预算安排0.00万元。20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年财政拨款预算安排0.00万元，与20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年持平，近两年均未有此类财政拨款预算安排。</w:t>
      </w:r>
    </w:p>
    <w:p>
      <w:pPr>
        <w:spacing w:line="56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2.公务接待费</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年财政拨款预算安排</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年财政拨款预算安排</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万元，比20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年持平，近两年均未有此类财政拨款预算安排。</w:t>
      </w:r>
    </w:p>
    <w:p>
      <w:pPr>
        <w:spacing w:line="560" w:lineRule="exact"/>
        <w:ind w:firstLine="643" w:firstLineChars="200"/>
        <w:outlineLvl w:val="0"/>
        <w:rPr>
          <w:rFonts w:hint="eastAsia" w:ascii="仿宋" w:hAnsi="仿宋" w:eastAsia="仿宋" w:cs="黑体"/>
          <w:b/>
          <w:sz w:val="32"/>
          <w:szCs w:val="32"/>
          <w:highlight w:val="none"/>
        </w:rPr>
      </w:pPr>
      <w:r>
        <w:rPr>
          <w:rFonts w:hint="eastAsia" w:ascii="仿宋" w:hAnsi="仿宋" w:eastAsia="仿宋" w:cs="黑体"/>
          <w:b/>
          <w:sz w:val="32"/>
          <w:szCs w:val="32"/>
          <w:highlight w:val="none"/>
        </w:rPr>
        <w:t>3.公务用车购置及运行维护费</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color w:val="000000"/>
          <w:sz w:val="32"/>
          <w:szCs w:val="32"/>
          <w:highlight w:val="none"/>
          <w:lang w:val="en-US" w:eastAsia="zh-CN"/>
        </w:rPr>
        <w:t>2023年公务用车数量为0辆，财政拨款预算安排0万元，其中公务用车购置费</w:t>
      </w:r>
      <w:r>
        <w:rPr>
          <w:rFonts w:hint="eastAsia" w:ascii="仿宋_GB2312" w:eastAsia="仿宋_GB2312"/>
          <w:sz w:val="32"/>
          <w:szCs w:val="32"/>
          <w:highlight w:val="none"/>
        </w:rPr>
        <w:t>0万元，公务用车运行维护费0万元。20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年财政拨款预算安排0万元，比20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年</w:t>
      </w:r>
      <w:r>
        <w:rPr>
          <w:rFonts w:hint="eastAsia" w:ascii="仿宋_GB2312" w:eastAsia="仿宋_GB2312"/>
          <w:sz w:val="32"/>
          <w:szCs w:val="32"/>
          <w:highlight w:val="none"/>
          <w:lang w:eastAsia="zh-CN"/>
        </w:rPr>
        <w:t>持平</w:t>
      </w:r>
      <w:r>
        <w:rPr>
          <w:rFonts w:hint="eastAsia" w:ascii="仿宋_GB2312" w:eastAsia="仿宋_GB2312"/>
          <w:sz w:val="32"/>
          <w:szCs w:val="32"/>
          <w:highlight w:val="none"/>
        </w:rPr>
        <w:t>。</w:t>
      </w:r>
    </w:p>
    <w:p>
      <w:pPr>
        <w:spacing w:line="560" w:lineRule="exact"/>
        <w:ind w:firstLine="800" w:firstLineChars="250"/>
        <w:rPr>
          <w:rFonts w:ascii="黑体" w:hAnsi="黑体" w:eastAsia="黑体"/>
          <w:sz w:val="32"/>
          <w:szCs w:val="32"/>
          <w:highlight w:val="none"/>
        </w:rPr>
      </w:pPr>
      <w:r>
        <w:rPr>
          <w:rFonts w:hint="eastAsia" w:ascii="黑体" w:hAnsi="黑体" w:eastAsia="黑体"/>
          <w:sz w:val="32"/>
          <w:szCs w:val="32"/>
          <w:highlight w:val="none"/>
        </w:rPr>
        <w:t>五、其他情况说明</w:t>
      </w:r>
    </w:p>
    <w:p>
      <w:pPr>
        <w:spacing w:line="56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（一）机</w:t>
      </w:r>
      <w:r>
        <w:rPr>
          <w:rFonts w:hint="eastAsia" w:ascii="仿宋" w:hAnsi="仿宋" w:eastAsia="仿宋"/>
          <w:b/>
          <w:sz w:val="32"/>
          <w:szCs w:val="32"/>
          <w:highlight w:val="none"/>
          <w:lang w:eastAsia="zh-CN"/>
        </w:rPr>
        <w:t>关</w:t>
      </w:r>
      <w:r>
        <w:rPr>
          <w:rFonts w:hint="eastAsia" w:ascii="仿宋" w:hAnsi="仿宋" w:eastAsia="仿宋"/>
          <w:b/>
          <w:sz w:val="32"/>
          <w:szCs w:val="32"/>
          <w:highlight w:val="none"/>
        </w:rPr>
        <w:t>运行经费说明</w:t>
      </w:r>
      <w:r>
        <w:rPr>
          <w:rFonts w:ascii="仿宋" w:hAnsi="仿宋" w:eastAsia="仿宋"/>
          <w:b/>
          <w:sz w:val="32"/>
          <w:szCs w:val="32"/>
          <w:highlight w:val="none"/>
        </w:rPr>
        <w:t xml:space="preserve"> </w:t>
      </w:r>
    </w:p>
    <w:p>
      <w:pPr>
        <w:spacing w:line="560" w:lineRule="exact"/>
        <w:ind w:firstLine="640" w:firstLineChars="200"/>
        <w:rPr>
          <w:rFonts w:hint="eastAsia" w:ascii="仿宋" w:hAnsi="仿宋" w:eastAsia="仿宋"/>
          <w:sz w:val="32"/>
          <w:szCs w:val="32"/>
          <w:highlight w:val="none"/>
          <w:lang w:val="en-US" w:eastAsia="zh-CN"/>
        </w:rPr>
      </w:pP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_GB2312" w:eastAsia="仿宋_GB2312"/>
          <w:color w:val="000000"/>
          <w:sz w:val="32"/>
          <w:szCs w:val="32"/>
          <w:highlight w:val="none"/>
          <w:lang w:val="en-US" w:eastAsia="zh-CN"/>
        </w:rPr>
        <w:t>无</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（二）政府</w:t>
      </w:r>
      <w:r>
        <w:rPr>
          <w:rFonts w:ascii="仿宋" w:hAnsi="仿宋" w:eastAsia="仿宋"/>
          <w:b/>
          <w:color w:val="000000"/>
          <w:sz w:val="32"/>
          <w:szCs w:val="32"/>
          <w:highlight w:val="none"/>
        </w:rPr>
        <w:t>采购预算说明</w:t>
      </w:r>
    </w:p>
    <w:p>
      <w:pPr>
        <w:spacing w:line="520" w:lineRule="exact"/>
        <w:ind w:firstLine="960" w:firstLineChars="3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无</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sz w:val="32"/>
          <w:szCs w:val="32"/>
          <w:highlight w:val="none"/>
        </w:rPr>
        <w:t>（三）</w:t>
      </w:r>
      <w:r>
        <w:rPr>
          <w:rFonts w:hint="eastAsia" w:ascii="仿宋" w:hAnsi="仿宋" w:eastAsia="仿宋"/>
          <w:b/>
          <w:color w:val="000000"/>
          <w:sz w:val="32"/>
          <w:szCs w:val="32"/>
          <w:highlight w:val="none"/>
        </w:rPr>
        <w:t>政府购买服务</w:t>
      </w:r>
      <w:r>
        <w:rPr>
          <w:rFonts w:ascii="仿宋" w:hAnsi="仿宋" w:eastAsia="仿宋"/>
          <w:b/>
          <w:color w:val="000000"/>
          <w:sz w:val="32"/>
          <w:szCs w:val="32"/>
          <w:highlight w:val="none"/>
        </w:rPr>
        <w:t>预算说明</w:t>
      </w:r>
    </w:p>
    <w:p>
      <w:pPr>
        <w:spacing w:line="520" w:lineRule="exact"/>
        <w:ind w:firstLine="640" w:firstLineChars="200"/>
        <w:rPr>
          <w:rFonts w:hint="eastAsia" w:ascii="仿宋_GB2312" w:hAnsi="黑体" w:eastAsia="仿宋_GB2312"/>
          <w:sz w:val="32"/>
          <w:szCs w:val="32"/>
          <w:highlight w:val="none"/>
          <w:lang w:val="en-US"/>
        </w:rPr>
      </w:pPr>
      <w:r>
        <w:rPr>
          <w:rFonts w:hint="eastAsia" w:ascii="仿宋_GB2312" w:hAnsi="黑体" w:eastAsia="仿宋_GB2312"/>
          <w:sz w:val="32"/>
          <w:szCs w:val="32"/>
          <w:highlight w:val="none"/>
          <w:lang w:val="en-US" w:eastAsia="zh-CN"/>
        </w:rPr>
        <w:t xml:space="preserve"> </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lang w:eastAsia="zh-CN"/>
        </w:rPr>
        <w:t>无</w:t>
      </w:r>
    </w:p>
    <w:p>
      <w:p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（四）绩效目标情况及绩效评价结果</w:t>
      </w:r>
      <w:r>
        <w:rPr>
          <w:rFonts w:ascii="仿宋" w:hAnsi="仿宋" w:eastAsia="仿宋"/>
          <w:b/>
          <w:color w:val="000000"/>
          <w:sz w:val="32"/>
          <w:szCs w:val="32"/>
          <w:highlight w:val="none"/>
        </w:rPr>
        <w:t>说明</w:t>
      </w:r>
    </w:p>
    <w:p>
      <w:pPr>
        <w:spacing w:line="52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北京市西城区卫生</w:t>
      </w:r>
      <w:r>
        <w:rPr>
          <w:rFonts w:hint="eastAsia" w:ascii="仿宋_GB2312" w:eastAsia="仿宋_GB2312"/>
          <w:color w:val="000000"/>
          <w:sz w:val="32"/>
          <w:szCs w:val="32"/>
          <w:highlight w:val="none"/>
          <w:lang w:eastAsia="zh-CN"/>
        </w:rPr>
        <w:t>学校</w:t>
      </w:r>
      <w:r>
        <w:rPr>
          <w:rFonts w:hint="eastAsia" w:ascii="仿宋_GB2312" w:eastAsia="仿宋_GB2312"/>
          <w:color w:val="000000"/>
          <w:sz w:val="32"/>
          <w:szCs w:val="32"/>
          <w:highlight w:val="none"/>
        </w:rPr>
        <w:t>预算内项目</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 xml:space="preserve">个，金额 </w:t>
      </w:r>
      <w:r>
        <w:rPr>
          <w:rFonts w:hint="eastAsia" w:ascii="仿宋_GB2312" w:eastAsia="仿宋_GB2312"/>
          <w:color w:val="000000"/>
          <w:sz w:val="32"/>
          <w:szCs w:val="32"/>
          <w:highlight w:val="none"/>
          <w:lang w:val="en-US" w:eastAsia="zh-CN"/>
        </w:rPr>
        <w:t>0.00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我单位</w:t>
      </w:r>
      <w:r>
        <w:rPr>
          <w:rFonts w:hint="eastAsia"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22</w:t>
      </w:r>
      <w:r>
        <w:rPr>
          <w:rFonts w:hint="eastAsia" w:ascii="仿宋_GB2312" w:eastAsia="仿宋_GB2312"/>
          <w:color w:val="000000"/>
          <w:sz w:val="32"/>
          <w:szCs w:val="32"/>
          <w:highlight w:val="none"/>
        </w:rPr>
        <w:t>年全年财政收支整体情况做出分析说明报财政局备案。</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（五）国有</w:t>
      </w:r>
      <w:r>
        <w:rPr>
          <w:rFonts w:ascii="仿宋" w:hAnsi="仿宋" w:eastAsia="仿宋"/>
          <w:b/>
          <w:color w:val="000000"/>
          <w:sz w:val="32"/>
          <w:szCs w:val="32"/>
          <w:highlight w:val="none"/>
        </w:rPr>
        <w:t>资本经营预算财政拨款</w:t>
      </w:r>
      <w:r>
        <w:rPr>
          <w:rFonts w:hint="eastAsia" w:ascii="仿宋" w:hAnsi="仿宋" w:eastAsia="仿宋"/>
          <w:b/>
          <w:color w:val="000000"/>
          <w:sz w:val="32"/>
          <w:szCs w:val="32"/>
          <w:highlight w:val="none"/>
        </w:rPr>
        <w:t>情况</w:t>
      </w:r>
      <w:r>
        <w:rPr>
          <w:rFonts w:ascii="仿宋" w:hAnsi="仿宋" w:eastAsia="仿宋"/>
          <w:b/>
          <w:color w:val="000000"/>
          <w:sz w:val="32"/>
          <w:szCs w:val="32"/>
          <w:highlight w:val="none"/>
        </w:rPr>
        <w:t>说明</w:t>
      </w:r>
    </w:p>
    <w:p>
      <w:pPr>
        <w:spacing w:line="52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无此类信息。</w:t>
      </w:r>
    </w:p>
    <w:p>
      <w:pPr>
        <w:spacing w:line="52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（六）国有资产</w:t>
      </w:r>
      <w:r>
        <w:rPr>
          <w:rFonts w:ascii="仿宋" w:hAnsi="仿宋" w:eastAsia="仿宋"/>
          <w:b/>
          <w:color w:val="000000"/>
          <w:sz w:val="32"/>
          <w:szCs w:val="32"/>
          <w:highlight w:val="none"/>
        </w:rPr>
        <w:t>占用情况说明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截止</w:t>
      </w:r>
      <w:r>
        <w:rPr>
          <w:rFonts w:hint="eastAsia" w:ascii="仿宋_GB2312" w:eastAsia="仿宋_GB2312"/>
          <w:color w:val="000000"/>
          <w:sz w:val="32"/>
          <w:szCs w:val="32"/>
        </w:rPr>
        <w:t>2022年</w:t>
      </w:r>
      <w:r>
        <w:rPr>
          <w:rFonts w:ascii="仿宋_GB2312" w:eastAsia="仿宋_GB2312"/>
          <w:color w:val="000000"/>
          <w:sz w:val="32"/>
          <w:szCs w:val="32"/>
        </w:rPr>
        <w:t>底，</w:t>
      </w:r>
      <w:r>
        <w:rPr>
          <w:rFonts w:hint="eastAsia" w:ascii="仿宋_GB2312" w:eastAsia="仿宋_GB2312"/>
          <w:color w:val="000000"/>
          <w:sz w:val="32"/>
          <w:szCs w:val="32"/>
        </w:rPr>
        <w:t>本部门</w:t>
      </w:r>
      <w:r>
        <w:rPr>
          <w:rFonts w:ascii="仿宋_GB2312" w:eastAsia="仿宋_GB2312"/>
          <w:color w:val="000000"/>
          <w:sz w:val="32"/>
          <w:szCs w:val="32"/>
        </w:rPr>
        <w:t>固定资产总额</w:t>
      </w:r>
      <w:r>
        <w:rPr>
          <w:rFonts w:hint="eastAsia" w:ascii="仿宋_GB2312" w:eastAsia="仿宋_GB2312"/>
          <w:color w:val="000000"/>
          <w:sz w:val="32"/>
          <w:szCs w:val="32"/>
          <w:highlight w:val="none"/>
          <w:lang w:val="en-US" w:eastAsia="zh-CN"/>
        </w:rPr>
        <w:t>410.81</w:t>
      </w:r>
      <w:r>
        <w:rPr>
          <w:rFonts w:hint="eastAsia" w:ascii="仿宋_GB2312" w:eastAsia="仿宋_GB2312"/>
          <w:color w:val="000000"/>
          <w:sz w:val="32"/>
          <w:szCs w:val="32"/>
        </w:rPr>
        <w:t>万元</w:t>
      </w:r>
      <w:r>
        <w:rPr>
          <w:rFonts w:ascii="仿宋_GB2312" w:eastAsia="仿宋_GB2312"/>
          <w:color w:val="000000"/>
          <w:sz w:val="32"/>
          <w:szCs w:val="32"/>
        </w:rPr>
        <w:t>，其中：</w:t>
      </w:r>
      <w:r>
        <w:rPr>
          <w:rFonts w:hint="eastAsia" w:ascii="仿宋_GB2312" w:eastAsia="仿宋_GB2312"/>
          <w:color w:val="000000"/>
          <w:sz w:val="32"/>
          <w:szCs w:val="32"/>
        </w:rPr>
        <w:t>车辆</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万元，单位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2023部门预算：安排购置车辆</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台</w:t>
      </w:r>
      <w:r>
        <w:rPr>
          <w:rFonts w:ascii="仿宋_GB2312" w:eastAsia="仿宋_GB2312"/>
          <w:color w:val="000000"/>
          <w:sz w:val="32"/>
          <w:szCs w:val="32"/>
        </w:rPr>
        <w:t>，</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台（套）、</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rPr>
        <w:t>万元。</w:t>
      </w:r>
    </w:p>
    <w:p>
      <w:pPr>
        <w:spacing w:line="560" w:lineRule="exact"/>
        <w:ind w:firstLine="645"/>
        <w:rPr>
          <w:rFonts w:ascii="仿宋" w:hAnsi="仿宋" w:eastAsia="仿宋"/>
          <w:b/>
          <w:color w:val="000000"/>
          <w:sz w:val="32"/>
          <w:szCs w:val="32"/>
          <w:highlight w:val="none"/>
        </w:rPr>
      </w:pPr>
      <w:r>
        <w:rPr>
          <w:rFonts w:hint="eastAsia" w:ascii="仿宋" w:hAnsi="仿宋" w:eastAsia="仿宋"/>
          <w:b/>
          <w:color w:val="000000"/>
          <w:sz w:val="32"/>
          <w:szCs w:val="32"/>
          <w:highlight w:val="none"/>
        </w:rPr>
        <w:t>（七）重点行政事业性收费情况说明</w:t>
      </w:r>
    </w:p>
    <w:p>
      <w:p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无此类信息。</w:t>
      </w:r>
    </w:p>
    <w:p>
      <w:pPr>
        <w:spacing w:line="560" w:lineRule="exact"/>
        <w:ind w:firstLine="643" w:firstLineChars="200"/>
        <w:rPr>
          <w:rFonts w:ascii="仿宋" w:hAnsi="仿宋" w:eastAsia="仿宋" w:cs="黑体"/>
          <w:b/>
          <w:sz w:val="32"/>
          <w:szCs w:val="32"/>
          <w:highlight w:val="none"/>
        </w:rPr>
      </w:pPr>
      <w:r>
        <w:rPr>
          <w:rFonts w:hint="eastAsia" w:ascii="仿宋" w:hAnsi="仿宋" w:eastAsia="仿宋" w:cs="黑体"/>
          <w:b/>
          <w:sz w:val="32"/>
          <w:szCs w:val="32"/>
          <w:highlight w:val="none"/>
        </w:rPr>
        <w:t>（八）政府性基金预算财政拨款收入、支出全为零。</w:t>
      </w:r>
    </w:p>
    <w:p>
      <w:pPr>
        <w:spacing w:line="560" w:lineRule="exact"/>
        <w:ind w:firstLine="640" w:firstLineChars="200"/>
        <w:rPr>
          <w:rFonts w:ascii="仿宋" w:hAnsi="仿宋" w:eastAsia="仿宋" w:cs="黑体"/>
          <w:b/>
          <w:sz w:val="32"/>
          <w:szCs w:val="32"/>
          <w:highlight w:val="none"/>
        </w:rPr>
      </w:pPr>
      <w:r>
        <w:rPr>
          <w:rFonts w:hint="eastAsia" w:ascii="黑体" w:hAnsi="黑体" w:eastAsia="黑体"/>
          <w:color w:val="000000"/>
          <w:sz w:val="32"/>
          <w:szCs w:val="32"/>
          <w:highlight w:val="none"/>
        </w:rPr>
        <w:t>六</w:t>
      </w:r>
      <w:r>
        <w:rPr>
          <w:rFonts w:ascii="黑体" w:hAnsi="黑体" w:eastAsia="黑体"/>
          <w:color w:val="000000"/>
          <w:sz w:val="32"/>
          <w:szCs w:val="32"/>
          <w:highlight w:val="none"/>
        </w:rPr>
        <w:t>、名称</w:t>
      </w:r>
      <w:r>
        <w:rPr>
          <w:rFonts w:hint="eastAsia" w:ascii="黑体" w:hAnsi="黑体" w:eastAsia="黑体"/>
          <w:color w:val="000000"/>
          <w:sz w:val="32"/>
          <w:szCs w:val="32"/>
          <w:highlight w:val="none"/>
        </w:rPr>
        <w:t>解释</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1.财政拨款收入：指单位本年度从财政部门取得的财政拨款。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2.上级补助收入：指事业单位从主管部门和上级单位取得的非财政补助收入。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3.事业收入：指事业单位开展专业业务活动及其辅助活动取得的收入，事业单位收到的财政专户实际核拨的教育收费等资金在此反映。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4.经营收入：指事业单位在专业业务活动及其辅助活动之外开展非独立核算经营活动取得的收入。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5.附属单位缴款：指事业单位附属独立核算单位按照有关规定上缴的收入。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5.其他收入：指单位取得的除上述“财政拨款收入”、“事业收入”、“经营收入”等以外的各项收入。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6.基本支出：指为保障机构正常运转、完成日常工作任务而发生的人员支出和公用支出。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7.项目支出：指在基本支出之外为完成特定的行政任务或事业发展目标所发生的支出。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8.上缴上级支出：指事业单位按照财政部门和主管部门的规定上缴上级单位的支出。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 xml:space="preserve">9.经营支出：指事业单位在专业业务活动及其辅助活动之外开展非独立核算经营活动发生的支出。 </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10.对附属单位补助支出：指事业单位用财政补助收入之外的收入对附属单位补助发生的支出。</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11.机</w:t>
      </w:r>
      <w:r>
        <w:rPr>
          <w:rFonts w:hint="eastAsia" w:ascii="仿宋_GB2312" w:eastAsia="仿宋_GB2312"/>
          <w:sz w:val="32"/>
          <w:szCs w:val="32"/>
          <w:highlight w:val="none"/>
          <w:lang w:eastAsia="zh-CN"/>
        </w:rPr>
        <w:t>关</w:t>
      </w:r>
      <w:r>
        <w:rPr>
          <w:rFonts w:hint="eastAsia" w:ascii="仿宋_GB2312" w:eastAsia="仿宋_GB2312"/>
          <w:sz w:val="32"/>
          <w:szCs w:val="32"/>
          <w:highlight w:val="none"/>
        </w:rPr>
        <w:t>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napToGrid w:val="0"/>
        <w:spacing w:line="520" w:lineRule="exact"/>
        <w:ind w:firstLine="627" w:firstLineChars="196"/>
        <w:rPr>
          <w:rFonts w:hint="eastAsia" w:ascii="仿宋_GB2312" w:eastAsia="仿宋_GB2312"/>
          <w:sz w:val="32"/>
          <w:szCs w:val="32"/>
          <w:highlight w:val="none"/>
        </w:rPr>
      </w:pPr>
      <w:r>
        <w:rPr>
          <w:rFonts w:hint="eastAsia" w:ascii="仿宋_GB2312" w:eastAsia="仿宋_GB2312"/>
          <w:sz w:val="32"/>
          <w:szCs w:val="32"/>
          <w:highlight w:val="none"/>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p>
      <w:pPr>
        <w:spacing w:line="560" w:lineRule="exact"/>
        <w:ind w:firstLine="643" w:firstLineChars="200"/>
        <w:jc w:val="center"/>
        <w:rPr>
          <w:rFonts w:hint="eastAsia" w:asciiTheme="minorEastAsia" w:hAnsiTheme="minorEastAsia" w:eastAsiaTheme="minorEastAsia"/>
          <w:b/>
          <w:color w:val="000000"/>
          <w:sz w:val="32"/>
          <w:szCs w:val="32"/>
          <w:highlight w:val="none"/>
        </w:rPr>
      </w:pPr>
    </w:p>
    <w:sectPr>
      <w:footerReference r:id="rId3" w:type="default"/>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1FA2F"/>
    <w:multiLevelType w:val="singleLevel"/>
    <w:tmpl w:val="2A41FA2F"/>
    <w:lvl w:ilvl="0" w:tentative="0">
      <w:start w:val="2"/>
      <w:numFmt w:val="chineseCounting"/>
      <w:suff w:val="nothing"/>
      <w:lvlText w:val="（%1）"/>
      <w:lvlJc w:val="left"/>
      <w:pPr>
        <w:ind w:left="681"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C60"/>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439F"/>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32F3656"/>
    <w:rsid w:val="03DB0463"/>
    <w:rsid w:val="051E41C8"/>
    <w:rsid w:val="054A3CED"/>
    <w:rsid w:val="05FD7607"/>
    <w:rsid w:val="06893A80"/>
    <w:rsid w:val="0C177D52"/>
    <w:rsid w:val="0C181CAE"/>
    <w:rsid w:val="0D3A0359"/>
    <w:rsid w:val="0ECC68CE"/>
    <w:rsid w:val="104C33A3"/>
    <w:rsid w:val="12572530"/>
    <w:rsid w:val="13157DC8"/>
    <w:rsid w:val="13641DE6"/>
    <w:rsid w:val="13D80B3D"/>
    <w:rsid w:val="13E939B7"/>
    <w:rsid w:val="153F6CB5"/>
    <w:rsid w:val="15FF7757"/>
    <w:rsid w:val="17DA12D2"/>
    <w:rsid w:val="18C72D79"/>
    <w:rsid w:val="19B91048"/>
    <w:rsid w:val="1BAE58EF"/>
    <w:rsid w:val="1CE47F87"/>
    <w:rsid w:val="1FF743D5"/>
    <w:rsid w:val="201C74F7"/>
    <w:rsid w:val="216D72AA"/>
    <w:rsid w:val="23A32647"/>
    <w:rsid w:val="246C633F"/>
    <w:rsid w:val="27AC1FAB"/>
    <w:rsid w:val="28A111F5"/>
    <w:rsid w:val="29BF7FAB"/>
    <w:rsid w:val="2A457CD4"/>
    <w:rsid w:val="2D122CD5"/>
    <w:rsid w:val="2DCA590E"/>
    <w:rsid w:val="2FEF1151"/>
    <w:rsid w:val="303F6434"/>
    <w:rsid w:val="30B53523"/>
    <w:rsid w:val="312D679A"/>
    <w:rsid w:val="336D43AB"/>
    <w:rsid w:val="36310E6F"/>
    <w:rsid w:val="36AA4611"/>
    <w:rsid w:val="372A49A2"/>
    <w:rsid w:val="37BE7C45"/>
    <w:rsid w:val="38025DDF"/>
    <w:rsid w:val="38627A4E"/>
    <w:rsid w:val="38C26778"/>
    <w:rsid w:val="38C72BA7"/>
    <w:rsid w:val="3AC10893"/>
    <w:rsid w:val="3B954A17"/>
    <w:rsid w:val="3B9C3807"/>
    <w:rsid w:val="3C501F8B"/>
    <w:rsid w:val="3F5D30F0"/>
    <w:rsid w:val="445E2DD1"/>
    <w:rsid w:val="45D6630B"/>
    <w:rsid w:val="47A95455"/>
    <w:rsid w:val="47E0378B"/>
    <w:rsid w:val="49494E88"/>
    <w:rsid w:val="49F516A4"/>
    <w:rsid w:val="4AC9232A"/>
    <w:rsid w:val="4AF93F69"/>
    <w:rsid w:val="4B0422BF"/>
    <w:rsid w:val="4BA25C08"/>
    <w:rsid w:val="4C176054"/>
    <w:rsid w:val="4D137CE0"/>
    <w:rsid w:val="4D4F17B0"/>
    <w:rsid w:val="4D8678A0"/>
    <w:rsid w:val="4E236C1E"/>
    <w:rsid w:val="4E4D1891"/>
    <w:rsid w:val="4F7A5D7F"/>
    <w:rsid w:val="50751D45"/>
    <w:rsid w:val="5185587F"/>
    <w:rsid w:val="519651A1"/>
    <w:rsid w:val="52A126CF"/>
    <w:rsid w:val="531407D4"/>
    <w:rsid w:val="53A478D6"/>
    <w:rsid w:val="56014104"/>
    <w:rsid w:val="575E1D67"/>
    <w:rsid w:val="5A8F59B4"/>
    <w:rsid w:val="5C4D63ED"/>
    <w:rsid w:val="5E70178B"/>
    <w:rsid w:val="5F3D30EA"/>
    <w:rsid w:val="603E1C05"/>
    <w:rsid w:val="60A6029D"/>
    <w:rsid w:val="650844D2"/>
    <w:rsid w:val="65101A9B"/>
    <w:rsid w:val="65297EDF"/>
    <w:rsid w:val="65A27595"/>
    <w:rsid w:val="678C1C88"/>
    <w:rsid w:val="67F03937"/>
    <w:rsid w:val="6A797494"/>
    <w:rsid w:val="6B107F5A"/>
    <w:rsid w:val="6B2570B3"/>
    <w:rsid w:val="6C2C6016"/>
    <w:rsid w:val="6DE85500"/>
    <w:rsid w:val="6F1261C5"/>
    <w:rsid w:val="71F91D6A"/>
    <w:rsid w:val="72EA021F"/>
    <w:rsid w:val="74A679AF"/>
    <w:rsid w:val="75446B1D"/>
    <w:rsid w:val="78E30574"/>
    <w:rsid w:val="78E87210"/>
    <w:rsid w:val="79547495"/>
    <w:rsid w:val="79935B6D"/>
    <w:rsid w:val="7A44431E"/>
    <w:rsid w:val="7A6842F0"/>
    <w:rsid w:val="7AD82479"/>
    <w:rsid w:val="7BBC6913"/>
    <w:rsid w:val="7CB7247B"/>
    <w:rsid w:val="7D3D0956"/>
    <w:rsid w:val="7DDE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5"/>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 w:type="character" w:customStyle="1" w:styleId="31">
    <w:name w:val="font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20</TotalTime>
  <ScaleCrop>false</ScaleCrop>
  <LinksUpToDate>false</LinksUpToDate>
  <CharactersWithSpaces>98977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Administrator</cp:lastModifiedBy>
  <cp:lastPrinted>2021-02-01T01:43:00Z</cp:lastPrinted>
  <dcterms:modified xsi:type="dcterms:W3CDTF">2023-01-30T02:29:04Z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